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5BB62">
      <w:pPr>
        <w:pStyle w:val="6"/>
        <w:jc w:val="both"/>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 xml:space="preserve">附件          </w:t>
      </w:r>
      <w:bookmarkStart w:id="0" w:name="_GoBack"/>
      <w:r>
        <w:rPr>
          <w:rFonts w:hint="eastAsia" w:ascii="方正黑体_GBK" w:hAnsi="方正黑体_GBK" w:eastAsia="方正黑体_GBK" w:cs="方正黑体_GBK"/>
          <w:color w:val="000000"/>
          <w:sz w:val="32"/>
          <w:szCs w:val="32"/>
          <w:lang w:val="en-US" w:eastAsia="zh-CN"/>
        </w:rPr>
        <w:t xml:space="preserve"> 《资阳空港私募基金管理有限责任公司市场化招聘人员岗位薪酬待遇表》</w:t>
      </w:r>
      <w:bookmarkEnd w:id="0"/>
    </w:p>
    <w:tbl>
      <w:tblPr>
        <w:tblStyle w:val="4"/>
        <w:tblW w:w="46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1497"/>
        <w:gridCol w:w="1400"/>
        <w:gridCol w:w="2415"/>
        <w:gridCol w:w="1776"/>
        <w:gridCol w:w="2344"/>
        <w:gridCol w:w="3286"/>
      </w:tblGrid>
      <w:tr w14:paraId="353F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50" w:type="pct"/>
            <w:shd w:val="clear" w:color="auto" w:fill="D7D7D7"/>
            <w:noWrap w:val="0"/>
            <w:vAlign w:val="center"/>
          </w:tcPr>
          <w:p w14:paraId="63309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序号</w:t>
            </w:r>
          </w:p>
        </w:tc>
        <w:tc>
          <w:tcPr>
            <w:tcW w:w="571" w:type="pct"/>
            <w:shd w:val="clear" w:color="auto" w:fill="D7D7D7"/>
            <w:noWrap w:val="0"/>
            <w:vAlign w:val="center"/>
          </w:tcPr>
          <w:p w14:paraId="7E38F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公司</w:t>
            </w:r>
          </w:p>
        </w:tc>
        <w:tc>
          <w:tcPr>
            <w:tcW w:w="534" w:type="pct"/>
            <w:shd w:val="clear" w:color="auto" w:fill="D7D7D7"/>
            <w:noWrap w:val="0"/>
            <w:vAlign w:val="center"/>
          </w:tcPr>
          <w:p w14:paraId="2A9F2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部门</w:t>
            </w:r>
          </w:p>
        </w:tc>
        <w:tc>
          <w:tcPr>
            <w:tcW w:w="920" w:type="pct"/>
            <w:shd w:val="clear" w:color="auto" w:fill="D7D7D7"/>
            <w:noWrap w:val="0"/>
            <w:vAlign w:val="center"/>
          </w:tcPr>
          <w:p w14:paraId="70B24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岗位</w:t>
            </w:r>
          </w:p>
        </w:tc>
        <w:tc>
          <w:tcPr>
            <w:tcW w:w="677" w:type="pct"/>
            <w:shd w:val="clear" w:color="auto" w:fill="D7D7D7"/>
            <w:noWrap w:val="0"/>
            <w:vAlign w:val="center"/>
          </w:tcPr>
          <w:p w14:paraId="43675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招聘人数</w:t>
            </w:r>
          </w:p>
        </w:tc>
        <w:tc>
          <w:tcPr>
            <w:tcW w:w="893" w:type="pct"/>
            <w:shd w:val="clear" w:color="auto" w:fill="D7D7D7"/>
            <w:noWrap w:val="0"/>
            <w:vAlign w:val="center"/>
          </w:tcPr>
          <w:p w14:paraId="0B9A1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FF0000"/>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薪酬</w:t>
            </w:r>
            <w:r>
              <w:rPr>
                <w:rFonts w:hint="default" w:ascii="微软雅黑" w:hAnsi="微软雅黑" w:eastAsia="微软雅黑" w:cs="微软雅黑"/>
                <w:i w:val="0"/>
                <w:iCs w:val="0"/>
                <w:color w:val="auto"/>
                <w:kern w:val="0"/>
                <w:sz w:val="20"/>
                <w:szCs w:val="20"/>
                <w:u w:val="none"/>
                <w:lang w:eastAsia="zh-CN" w:bidi="ar"/>
              </w:rPr>
              <w:t>区间</w:t>
            </w:r>
          </w:p>
        </w:tc>
        <w:tc>
          <w:tcPr>
            <w:tcW w:w="1251" w:type="pct"/>
            <w:shd w:val="clear" w:color="auto" w:fill="D7D7D7"/>
            <w:noWrap w:val="0"/>
            <w:vAlign w:val="center"/>
          </w:tcPr>
          <w:p w14:paraId="6074E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福利待遇</w:t>
            </w:r>
          </w:p>
        </w:tc>
      </w:tr>
      <w:tr w14:paraId="68B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0" w:type="pct"/>
            <w:noWrap w:val="0"/>
            <w:vAlign w:val="center"/>
          </w:tcPr>
          <w:p w14:paraId="70DA70D6">
            <w:pPr>
              <w:numPr>
                <w:ilvl w:val="0"/>
                <w:numId w:val="1"/>
              </w:numPr>
              <w:ind w:left="425" w:leftChars="0" w:hanging="425" w:firstLineChars="0"/>
              <w:jc w:val="center"/>
              <w:rPr>
                <w:sz w:val="22"/>
                <w:szCs w:val="28"/>
                <w:vertAlign w:val="baseline"/>
              </w:rPr>
            </w:pPr>
          </w:p>
        </w:tc>
        <w:tc>
          <w:tcPr>
            <w:tcW w:w="571" w:type="pct"/>
            <w:vMerge w:val="restart"/>
            <w:noWrap w:val="0"/>
            <w:vAlign w:val="center"/>
          </w:tcPr>
          <w:p w14:paraId="0BAB3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资阳空港私募基金管理有限责任公司</w:t>
            </w:r>
          </w:p>
          <w:p w14:paraId="0556D280">
            <w:pPr>
              <w:jc w:val="center"/>
              <w:rPr>
                <w:sz w:val="22"/>
                <w:szCs w:val="28"/>
                <w:vertAlign w:val="baseline"/>
              </w:rPr>
            </w:pPr>
          </w:p>
        </w:tc>
        <w:tc>
          <w:tcPr>
            <w:tcW w:w="534" w:type="pct"/>
            <w:noWrap w:val="0"/>
            <w:vAlign w:val="center"/>
          </w:tcPr>
          <w:p w14:paraId="12148D30">
            <w:pPr>
              <w:jc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法务风控部</w:t>
            </w:r>
          </w:p>
        </w:tc>
        <w:tc>
          <w:tcPr>
            <w:tcW w:w="920" w:type="pct"/>
            <w:noWrap w:val="0"/>
            <w:vAlign w:val="center"/>
          </w:tcPr>
          <w:p w14:paraId="6BF25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风控岗</w:t>
            </w:r>
          </w:p>
        </w:tc>
        <w:tc>
          <w:tcPr>
            <w:tcW w:w="677" w:type="pct"/>
            <w:noWrap w:val="0"/>
            <w:vAlign w:val="center"/>
          </w:tcPr>
          <w:p w14:paraId="2818E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2</w:t>
            </w:r>
          </w:p>
        </w:tc>
        <w:tc>
          <w:tcPr>
            <w:tcW w:w="893" w:type="pct"/>
            <w:noWrap w:val="0"/>
            <w:vAlign w:val="center"/>
          </w:tcPr>
          <w:p w14:paraId="1CD4D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12-33万/年</w:t>
            </w:r>
          </w:p>
        </w:tc>
        <w:tc>
          <w:tcPr>
            <w:tcW w:w="1251" w:type="pct"/>
            <w:vMerge w:val="restart"/>
            <w:noWrap w:val="0"/>
            <w:vAlign w:val="center"/>
          </w:tcPr>
          <w:p w14:paraId="18850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五险一金、企业年金、节日福利、体检、团建活动、公司食堂、人才公寓、人才补贴等</w:t>
            </w:r>
          </w:p>
        </w:tc>
      </w:tr>
      <w:tr w14:paraId="10D5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0" w:type="pct"/>
            <w:noWrap w:val="0"/>
            <w:vAlign w:val="center"/>
          </w:tcPr>
          <w:p w14:paraId="3A182B2D">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552ADE22">
            <w:pPr>
              <w:jc w:val="center"/>
              <w:rPr>
                <w:sz w:val="22"/>
                <w:szCs w:val="28"/>
                <w:vertAlign w:val="baseline"/>
              </w:rPr>
            </w:pPr>
          </w:p>
        </w:tc>
        <w:tc>
          <w:tcPr>
            <w:tcW w:w="534" w:type="pct"/>
            <w:vMerge w:val="restart"/>
            <w:noWrap w:val="0"/>
            <w:vAlign w:val="center"/>
          </w:tcPr>
          <w:p w14:paraId="05C5E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投资事务部</w:t>
            </w:r>
          </w:p>
          <w:p w14:paraId="382E148A">
            <w:pPr>
              <w:jc w:val="center"/>
              <w:rPr>
                <w:sz w:val="22"/>
                <w:szCs w:val="28"/>
                <w:vertAlign w:val="baseline"/>
              </w:rPr>
            </w:pPr>
          </w:p>
        </w:tc>
        <w:tc>
          <w:tcPr>
            <w:tcW w:w="920" w:type="pct"/>
            <w:noWrap w:val="0"/>
            <w:vAlign w:val="center"/>
          </w:tcPr>
          <w:p w14:paraId="1650E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高级投资经理</w:t>
            </w:r>
          </w:p>
          <w:p w14:paraId="094CC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（空天产业方向）</w:t>
            </w:r>
          </w:p>
        </w:tc>
        <w:tc>
          <w:tcPr>
            <w:tcW w:w="677" w:type="pct"/>
            <w:noWrap w:val="0"/>
            <w:vAlign w:val="center"/>
          </w:tcPr>
          <w:p w14:paraId="07434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7370E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30-40万/年</w:t>
            </w:r>
          </w:p>
        </w:tc>
        <w:tc>
          <w:tcPr>
            <w:tcW w:w="1251" w:type="pct"/>
            <w:vMerge w:val="continue"/>
            <w:noWrap w:val="0"/>
            <w:vAlign w:val="center"/>
          </w:tcPr>
          <w:p w14:paraId="10718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r w14:paraId="4B36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0" w:type="pct"/>
            <w:noWrap w:val="0"/>
            <w:vAlign w:val="center"/>
          </w:tcPr>
          <w:p w14:paraId="7DF8658B">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690B6FDC">
            <w:pPr>
              <w:jc w:val="center"/>
              <w:rPr>
                <w:sz w:val="22"/>
                <w:szCs w:val="28"/>
                <w:vertAlign w:val="baseline"/>
              </w:rPr>
            </w:pPr>
          </w:p>
        </w:tc>
        <w:tc>
          <w:tcPr>
            <w:tcW w:w="534" w:type="pct"/>
            <w:vMerge w:val="continue"/>
            <w:noWrap w:val="0"/>
            <w:vAlign w:val="center"/>
          </w:tcPr>
          <w:p w14:paraId="144A61F9">
            <w:pPr>
              <w:jc w:val="center"/>
              <w:rPr>
                <w:sz w:val="22"/>
                <w:szCs w:val="28"/>
                <w:vertAlign w:val="baseline"/>
              </w:rPr>
            </w:pPr>
          </w:p>
        </w:tc>
        <w:tc>
          <w:tcPr>
            <w:tcW w:w="920" w:type="pct"/>
            <w:noWrap w:val="0"/>
            <w:vAlign w:val="center"/>
          </w:tcPr>
          <w:p w14:paraId="45DA2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投资经理</w:t>
            </w:r>
          </w:p>
          <w:p w14:paraId="72DAF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（空天产业方向）</w:t>
            </w:r>
          </w:p>
        </w:tc>
        <w:tc>
          <w:tcPr>
            <w:tcW w:w="677" w:type="pct"/>
            <w:noWrap w:val="0"/>
            <w:vAlign w:val="center"/>
          </w:tcPr>
          <w:p w14:paraId="29078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7C466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12-33万/年</w:t>
            </w:r>
          </w:p>
        </w:tc>
        <w:tc>
          <w:tcPr>
            <w:tcW w:w="1251" w:type="pct"/>
            <w:vMerge w:val="continue"/>
            <w:noWrap w:val="0"/>
            <w:vAlign w:val="center"/>
          </w:tcPr>
          <w:p w14:paraId="05A49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r w14:paraId="31F9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0" w:type="pct"/>
            <w:noWrap w:val="0"/>
            <w:vAlign w:val="center"/>
          </w:tcPr>
          <w:p w14:paraId="53182033">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4F2F8597">
            <w:pPr>
              <w:jc w:val="center"/>
              <w:rPr>
                <w:sz w:val="22"/>
                <w:szCs w:val="28"/>
                <w:vertAlign w:val="baseline"/>
              </w:rPr>
            </w:pPr>
          </w:p>
        </w:tc>
        <w:tc>
          <w:tcPr>
            <w:tcW w:w="534" w:type="pct"/>
            <w:vMerge w:val="continue"/>
            <w:noWrap w:val="0"/>
            <w:vAlign w:val="center"/>
          </w:tcPr>
          <w:p w14:paraId="38E4A970">
            <w:pPr>
              <w:jc w:val="center"/>
              <w:rPr>
                <w:sz w:val="22"/>
                <w:szCs w:val="28"/>
                <w:vertAlign w:val="baseline"/>
              </w:rPr>
            </w:pPr>
          </w:p>
        </w:tc>
        <w:tc>
          <w:tcPr>
            <w:tcW w:w="920" w:type="pct"/>
            <w:noWrap w:val="0"/>
            <w:vAlign w:val="center"/>
          </w:tcPr>
          <w:p w14:paraId="11216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高级投资经理</w:t>
            </w:r>
          </w:p>
          <w:p w14:paraId="07352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（数智产业方向）</w:t>
            </w:r>
          </w:p>
        </w:tc>
        <w:tc>
          <w:tcPr>
            <w:tcW w:w="677" w:type="pct"/>
            <w:noWrap w:val="0"/>
            <w:vAlign w:val="center"/>
          </w:tcPr>
          <w:p w14:paraId="0B5BA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7BA72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30-40万/年</w:t>
            </w:r>
          </w:p>
        </w:tc>
        <w:tc>
          <w:tcPr>
            <w:tcW w:w="1251" w:type="pct"/>
            <w:vMerge w:val="continue"/>
            <w:noWrap w:val="0"/>
            <w:vAlign w:val="center"/>
          </w:tcPr>
          <w:p w14:paraId="5ADA0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r w14:paraId="4B94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0" w:type="pct"/>
            <w:noWrap w:val="0"/>
            <w:vAlign w:val="center"/>
          </w:tcPr>
          <w:p w14:paraId="207B836D">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00FB9AA3">
            <w:pPr>
              <w:jc w:val="center"/>
              <w:rPr>
                <w:sz w:val="22"/>
                <w:szCs w:val="28"/>
                <w:vertAlign w:val="baseline"/>
              </w:rPr>
            </w:pPr>
          </w:p>
        </w:tc>
        <w:tc>
          <w:tcPr>
            <w:tcW w:w="534" w:type="pct"/>
            <w:vMerge w:val="continue"/>
            <w:noWrap w:val="0"/>
            <w:vAlign w:val="center"/>
          </w:tcPr>
          <w:p w14:paraId="4CBEA81E">
            <w:pPr>
              <w:jc w:val="center"/>
              <w:rPr>
                <w:sz w:val="22"/>
                <w:szCs w:val="28"/>
                <w:vertAlign w:val="baseline"/>
              </w:rPr>
            </w:pPr>
          </w:p>
        </w:tc>
        <w:tc>
          <w:tcPr>
            <w:tcW w:w="920" w:type="pct"/>
            <w:noWrap w:val="0"/>
            <w:vAlign w:val="center"/>
          </w:tcPr>
          <w:p w14:paraId="05464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投资经理</w:t>
            </w:r>
          </w:p>
          <w:p w14:paraId="066E6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（数智产业方向）</w:t>
            </w:r>
          </w:p>
        </w:tc>
        <w:tc>
          <w:tcPr>
            <w:tcW w:w="677" w:type="pct"/>
            <w:noWrap w:val="0"/>
            <w:vAlign w:val="center"/>
          </w:tcPr>
          <w:p w14:paraId="392B9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5037D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12-33万/年</w:t>
            </w:r>
          </w:p>
        </w:tc>
        <w:tc>
          <w:tcPr>
            <w:tcW w:w="1251" w:type="pct"/>
            <w:vMerge w:val="continue"/>
            <w:noWrap w:val="0"/>
            <w:vAlign w:val="center"/>
          </w:tcPr>
          <w:p w14:paraId="3ABCB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r w14:paraId="5490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0" w:type="pct"/>
            <w:noWrap w:val="0"/>
            <w:vAlign w:val="center"/>
          </w:tcPr>
          <w:p w14:paraId="314D6206">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44202E4D">
            <w:pPr>
              <w:jc w:val="center"/>
              <w:rPr>
                <w:sz w:val="22"/>
                <w:szCs w:val="28"/>
                <w:vertAlign w:val="baseline"/>
              </w:rPr>
            </w:pPr>
          </w:p>
        </w:tc>
        <w:tc>
          <w:tcPr>
            <w:tcW w:w="534" w:type="pct"/>
            <w:vMerge w:val="continue"/>
            <w:noWrap w:val="0"/>
            <w:vAlign w:val="center"/>
          </w:tcPr>
          <w:p w14:paraId="78955CEB">
            <w:pPr>
              <w:jc w:val="center"/>
              <w:rPr>
                <w:sz w:val="22"/>
                <w:szCs w:val="28"/>
                <w:vertAlign w:val="baseline"/>
              </w:rPr>
            </w:pPr>
          </w:p>
        </w:tc>
        <w:tc>
          <w:tcPr>
            <w:tcW w:w="920" w:type="pct"/>
            <w:noWrap w:val="0"/>
            <w:vAlign w:val="center"/>
          </w:tcPr>
          <w:p w14:paraId="28C9E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投资经理</w:t>
            </w:r>
          </w:p>
          <w:p w14:paraId="2C2E5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（绿色能源方向）</w:t>
            </w:r>
          </w:p>
        </w:tc>
        <w:tc>
          <w:tcPr>
            <w:tcW w:w="677" w:type="pct"/>
            <w:noWrap w:val="0"/>
            <w:vAlign w:val="center"/>
          </w:tcPr>
          <w:p w14:paraId="22969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265A4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12-33万/年</w:t>
            </w:r>
          </w:p>
        </w:tc>
        <w:tc>
          <w:tcPr>
            <w:tcW w:w="1251" w:type="pct"/>
            <w:vMerge w:val="continue"/>
            <w:noWrap w:val="0"/>
            <w:vAlign w:val="center"/>
          </w:tcPr>
          <w:p w14:paraId="66AF3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r w14:paraId="32AE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0" w:type="pct"/>
            <w:noWrap w:val="0"/>
            <w:vAlign w:val="center"/>
          </w:tcPr>
          <w:p w14:paraId="3788F0B8">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2C188152">
            <w:pPr>
              <w:jc w:val="center"/>
              <w:rPr>
                <w:sz w:val="22"/>
                <w:szCs w:val="28"/>
                <w:vertAlign w:val="baseline"/>
              </w:rPr>
            </w:pPr>
          </w:p>
        </w:tc>
        <w:tc>
          <w:tcPr>
            <w:tcW w:w="534" w:type="pct"/>
            <w:vMerge w:val="continue"/>
            <w:noWrap w:val="0"/>
            <w:vAlign w:val="center"/>
          </w:tcPr>
          <w:p w14:paraId="56F3D096">
            <w:pPr>
              <w:jc w:val="center"/>
              <w:rPr>
                <w:sz w:val="22"/>
                <w:szCs w:val="28"/>
                <w:vertAlign w:val="baseline"/>
              </w:rPr>
            </w:pPr>
          </w:p>
        </w:tc>
        <w:tc>
          <w:tcPr>
            <w:tcW w:w="920" w:type="pct"/>
            <w:noWrap w:val="0"/>
            <w:vAlign w:val="center"/>
          </w:tcPr>
          <w:p w14:paraId="4E0C9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高级投资经理</w:t>
            </w:r>
          </w:p>
          <w:p w14:paraId="2B687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（先进材料方向）</w:t>
            </w:r>
          </w:p>
        </w:tc>
        <w:tc>
          <w:tcPr>
            <w:tcW w:w="677" w:type="pct"/>
            <w:noWrap w:val="0"/>
            <w:vAlign w:val="center"/>
          </w:tcPr>
          <w:p w14:paraId="4C663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78A3E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30-40万/年</w:t>
            </w:r>
          </w:p>
        </w:tc>
        <w:tc>
          <w:tcPr>
            <w:tcW w:w="1251" w:type="pct"/>
            <w:vMerge w:val="continue"/>
            <w:noWrap w:val="0"/>
            <w:vAlign w:val="center"/>
          </w:tcPr>
          <w:p w14:paraId="59744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r w14:paraId="7F98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0" w:type="pct"/>
            <w:noWrap w:val="0"/>
            <w:vAlign w:val="center"/>
          </w:tcPr>
          <w:p w14:paraId="6B7A4AE0">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6B1F1E2D">
            <w:pPr>
              <w:jc w:val="center"/>
              <w:rPr>
                <w:sz w:val="22"/>
                <w:szCs w:val="28"/>
                <w:vertAlign w:val="baseline"/>
              </w:rPr>
            </w:pPr>
          </w:p>
        </w:tc>
        <w:tc>
          <w:tcPr>
            <w:tcW w:w="534" w:type="pct"/>
            <w:vMerge w:val="continue"/>
            <w:noWrap w:val="0"/>
            <w:vAlign w:val="center"/>
          </w:tcPr>
          <w:p w14:paraId="573164E7">
            <w:pPr>
              <w:jc w:val="center"/>
              <w:rPr>
                <w:sz w:val="22"/>
                <w:szCs w:val="28"/>
                <w:vertAlign w:val="baseline"/>
              </w:rPr>
            </w:pPr>
          </w:p>
        </w:tc>
        <w:tc>
          <w:tcPr>
            <w:tcW w:w="920" w:type="pct"/>
            <w:noWrap w:val="0"/>
            <w:vAlign w:val="center"/>
          </w:tcPr>
          <w:p w14:paraId="074D4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投资经理</w:t>
            </w:r>
          </w:p>
          <w:p w14:paraId="21F3B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（先进材料方向）</w:t>
            </w:r>
          </w:p>
        </w:tc>
        <w:tc>
          <w:tcPr>
            <w:tcW w:w="677" w:type="pct"/>
            <w:noWrap w:val="0"/>
            <w:vAlign w:val="center"/>
          </w:tcPr>
          <w:p w14:paraId="141A4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default"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699AB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12-33万/年</w:t>
            </w:r>
          </w:p>
        </w:tc>
        <w:tc>
          <w:tcPr>
            <w:tcW w:w="1251" w:type="pct"/>
            <w:vMerge w:val="continue"/>
            <w:noWrap w:val="0"/>
            <w:vAlign w:val="center"/>
          </w:tcPr>
          <w:p w14:paraId="2897D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r w14:paraId="79BF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0" w:type="pct"/>
            <w:noWrap w:val="0"/>
            <w:vAlign w:val="center"/>
          </w:tcPr>
          <w:p w14:paraId="70C343CA">
            <w:pPr>
              <w:numPr>
                <w:ilvl w:val="0"/>
                <w:numId w:val="1"/>
              </w:numPr>
              <w:ind w:left="425" w:leftChars="0" w:hanging="425" w:firstLineChars="0"/>
              <w:jc w:val="center"/>
              <w:rPr>
                <w:sz w:val="22"/>
                <w:szCs w:val="28"/>
                <w:vertAlign w:val="baseline"/>
              </w:rPr>
            </w:pPr>
          </w:p>
        </w:tc>
        <w:tc>
          <w:tcPr>
            <w:tcW w:w="571" w:type="pct"/>
            <w:vMerge w:val="continue"/>
            <w:noWrap w:val="0"/>
            <w:vAlign w:val="center"/>
          </w:tcPr>
          <w:p w14:paraId="3E64EA60">
            <w:pPr>
              <w:jc w:val="center"/>
              <w:rPr>
                <w:sz w:val="22"/>
                <w:szCs w:val="28"/>
                <w:vertAlign w:val="baseline"/>
              </w:rPr>
            </w:pPr>
          </w:p>
        </w:tc>
        <w:tc>
          <w:tcPr>
            <w:tcW w:w="534" w:type="pct"/>
            <w:vMerge w:val="continue"/>
            <w:noWrap w:val="0"/>
            <w:vAlign w:val="center"/>
          </w:tcPr>
          <w:p w14:paraId="28F45131">
            <w:pPr>
              <w:jc w:val="center"/>
              <w:rPr>
                <w:sz w:val="22"/>
                <w:szCs w:val="28"/>
                <w:vertAlign w:val="baseline"/>
              </w:rPr>
            </w:pPr>
          </w:p>
        </w:tc>
        <w:tc>
          <w:tcPr>
            <w:tcW w:w="920" w:type="pct"/>
            <w:noWrap w:val="0"/>
            <w:vAlign w:val="center"/>
          </w:tcPr>
          <w:p w14:paraId="6113A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投资经理</w:t>
            </w:r>
          </w:p>
          <w:p w14:paraId="230BE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（药械方向）</w:t>
            </w:r>
          </w:p>
        </w:tc>
        <w:tc>
          <w:tcPr>
            <w:tcW w:w="677" w:type="pct"/>
            <w:noWrap w:val="0"/>
            <w:vAlign w:val="center"/>
          </w:tcPr>
          <w:p w14:paraId="15948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93" w:type="pct"/>
            <w:noWrap w:val="0"/>
            <w:vAlign w:val="center"/>
          </w:tcPr>
          <w:p w14:paraId="5BB78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r>
              <w:rPr>
                <w:rFonts w:hint="eastAsia" w:ascii="微软雅黑" w:hAnsi="微软雅黑" w:eastAsia="微软雅黑" w:cs="微软雅黑"/>
                <w:i w:val="0"/>
                <w:iCs w:val="0"/>
                <w:color w:val="000000"/>
                <w:kern w:val="0"/>
                <w:sz w:val="18"/>
                <w:szCs w:val="18"/>
                <w:u w:val="none"/>
                <w:lang w:val="en-US" w:eastAsia="zh-CN" w:bidi="ar"/>
              </w:rPr>
              <w:t>12-33万/年</w:t>
            </w:r>
          </w:p>
        </w:tc>
        <w:tc>
          <w:tcPr>
            <w:tcW w:w="1251" w:type="pct"/>
            <w:vMerge w:val="continue"/>
            <w:noWrap w:val="0"/>
            <w:vAlign w:val="center"/>
          </w:tcPr>
          <w:p w14:paraId="09C32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2"/>
                <w:szCs w:val="28"/>
                <w:vertAlign w:val="baseline"/>
              </w:rPr>
            </w:pPr>
          </w:p>
        </w:tc>
      </w:tr>
    </w:tbl>
    <w:p w14:paraId="5B84D439"/>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x0005_...">
    <w:altName w:val="方正仿宋_GBK"/>
    <w:panose1 w:val="00000000000000000000"/>
    <w:charset w:val="86"/>
    <w:family w:val="roman"/>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70E74"/>
    <w:multiLevelType w:val="singleLevel"/>
    <w:tmpl w:val="CFD70E74"/>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67A90"/>
    <w:rsid w:val="4C467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next w:val="2"/>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2026-05-21T02:23:00Z</dcterms:created>
  <dc:creator>shadow</dc:creator>
  <cp:lastModifiedBy>shadow</cp:lastModifiedBy>
  <dcterms:modified xsi:type="dcterms:W3CDTF">2026-05-21T02:24:16Z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112C808C98DD421B97B82B58D44FABE0_11</vt:lpwstr>
  </property>
  <property fmtid="{D5CDD505-2E9C-101B-9397-08002B2CF9AE}" pid="4" name="KSOTemplateDocerSaveRecord">
    <vt:lpwstr>eyJoZGlkIjoiNzQ3ZmU3OTM0MDA4OTE1Mzc0NWIwY2Y4ZTk1OTUwODQiLCJ1c2VySWQiOiIxNjY5ODQ1Nzk4In0=</vt:lpwstr>
  </property>
</Properties>
</file>